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40" w:rsidRPr="00190078" w:rsidRDefault="00FC6740" w:rsidP="00FC674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FC6740" w:rsidRPr="00190078" w:rsidRDefault="00FC6740" w:rsidP="00FC674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C6740" w:rsidRPr="00190078" w:rsidRDefault="00FC6740" w:rsidP="00FC674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FC6740" w:rsidRPr="00190078" w:rsidRDefault="00FC6740" w:rsidP="00FC674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C6740" w:rsidRPr="00190078" w:rsidRDefault="00FC6740" w:rsidP="00FC67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C6740" w:rsidRPr="00190078" w:rsidRDefault="00FC6740" w:rsidP="00FC67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C6740" w:rsidRPr="00190078" w:rsidRDefault="00FC6740" w:rsidP="00FC67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FC6740" w:rsidRPr="00190078" w:rsidRDefault="00FC6740" w:rsidP="00F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C6740" w:rsidRPr="00190078" w:rsidRDefault="00FC6740" w:rsidP="00FC67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C6740" w:rsidRPr="00190078" w:rsidRDefault="00FC6740" w:rsidP="00FC6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740" w:rsidRPr="002352E9" w:rsidRDefault="00FC6740" w:rsidP="00FC6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28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C6740" w:rsidRPr="0095149D" w:rsidRDefault="00FC6740" w:rsidP="00FC674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FC6740" w:rsidRPr="00D91F90" w:rsidRDefault="00FC6740" w:rsidP="00FC6740">
      <w:pPr>
        <w:spacing w:after="0" w:line="240" w:lineRule="auto"/>
        <w:ind w:right="4881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>О порядке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</w:t>
      </w:r>
    </w:p>
    <w:p w:rsidR="00FC6740" w:rsidRPr="00D91F90" w:rsidRDefault="00FC6740" w:rsidP="00F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пунктом 4 статьи 9.2 Федерального закона от 12 января 1996 года № 7-ФЗ «О некоммерческих организациях»,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40" w:rsidRPr="00D91F90" w:rsidRDefault="00FC6740" w:rsidP="00FC6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91F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применяется к муниципальным бюджетным учреждениям МО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D91F90">
        <w:rPr>
          <w:rFonts w:ascii="Times New Roman" w:eastAsia="Times New Roman" w:hAnsi="Times New Roman" w:cs="Times New Roman"/>
          <w:sz w:val="28"/>
          <w:szCs w:val="28"/>
        </w:rPr>
        <w:t>», которым в соответствии с положением части 16 статьи 33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предоставлены субсидии из местного бюджета в соответствии с</w:t>
      </w:r>
      <w:proofErr w:type="gramEnd"/>
      <w:r w:rsidRPr="00D91F90">
        <w:rPr>
          <w:rFonts w:ascii="Times New Roman" w:eastAsia="Times New Roman" w:hAnsi="Times New Roman" w:cs="Times New Roman"/>
          <w:sz w:val="28"/>
          <w:szCs w:val="28"/>
        </w:rPr>
        <w:t xml:space="preserve"> пунктом 1 статьи 78.1 Бюджетного кодекса Российской Федерации.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91F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1F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6740" w:rsidRPr="00D91F90" w:rsidRDefault="00FC6740" w:rsidP="00FC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90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Pr="00D91F90">
        <w:rPr>
          <w:rFonts w:ascii="Times New Roman" w:eastAsia="Times New Roman" w:hAnsi="Times New Roman" w:cs="Times New Roman"/>
          <w:sz w:val="28"/>
          <w:szCs w:val="28"/>
        </w:rPr>
        <w:t xml:space="preserve"> Вестнике</w:t>
      </w:r>
    </w:p>
    <w:p w:rsidR="00FC6740" w:rsidRPr="0095149D" w:rsidRDefault="00FC6740" w:rsidP="00FC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C6740" w:rsidRPr="00D91F9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FC6740" w:rsidRPr="00D91F9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МО «Казачье» </w:t>
      </w:r>
    </w:p>
    <w:p w:rsidR="00FC6740" w:rsidRPr="00D91F90" w:rsidRDefault="00FC6740" w:rsidP="00FC67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23.04.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FC6740" w:rsidRPr="00D91F90" w:rsidRDefault="00FC6740" w:rsidP="00F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1"/>
      <w:r w:rsidRPr="00D91F90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МО «Казачье» (далее – учреждения), оказываемые ими сверх установленного муниципального задания.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2"/>
      <w:bookmarkEnd w:id="0"/>
      <w:r w:rsidRPr="00D91F90">
        <w:rPr>
          <w:rFonts w:ascii="Times New Roman" w:eastAsia="Times New Roman" w:hAnsi="Times New Roman" w:cs="Times New Roman"/>
          <w:sz w:val="24"/>
          <w:szCs w:val="24"/>
        </w:rPr>
        <w:t>2. Услуги (работы) оказываются учреждениями за плату, размер которой целиком покрывает издержки учреждения на их оказание.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3"/>
      <w:bookmarkEnd w:id="1"/>
      <w:r w:rsidRPr="00D91F90">
        <w:rPr>
          <w:rFonts w:ascii="Times New Roman" w:eastAsia="Times New Roman" w:hAnsi="Times New Roman" w:cs="Times New Roman"/>
          <w:sz w:val="24"/>
          <w:szCs w:val="24"/>
        </w:rPr>
        <w:t>3. Учреждение 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4"/>
      <w:bookmarkEnd w:id="2"/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4. Учреждение формирует и утверждает перечень услуг (работ), оказываемых за плату, а также размер такой платы по согласованию с </w:t>
      </w:r>
      <w:bookmarkStart w:id="4" w:name="sub_1005"/>
      <w:bookmarkEnd w:id="3"/>
      <w:r w:rsidRPr="00D91F90">
        <w:rPr>
          <w:rFonts w:ascii="Times New Roman" w:eastAsia="Times New Roman" w:hAnsi="Times New Roman" w:cs="Times New Roman"/>
          <w:sz w:val="24"/>
          <w:szCs w:val="24"/>
        </w:rPr>
        <w:t>администрацией МО «Казачье».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5. 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6"/>
      <w:bookmarkEnd w:id="4"/>
      <w:r w:rsidRPr="00D91F90">
        <w:rPr>
          <w:rFonts w:ascii="Times New Roman" w:eastAsia="Times New Roman" w:hAnsi="Times New Roman" w:cs="Times New Roman"/>
          <w:sz w:val="24"/>
          <w:szCs w:val="24"/>
        </w:rPr>
        <w:t>6. Учреждение, оказывающее услуги (работы)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(работ) и размере платы за их оказание.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7"/>
      <w:bookmarkEnd w:id="5"/>
      <w:r w:rsidRPr="00D91F90">
        <w:rPr>
          <w:rFonts w:ascii="Times New Roman" w:eastAsia="Times New Roman" w:hAnsi="Times New Roman" w:cs="Times New Roman"/>
          <w:sz w:val="24"/>
          <w:szCs w:val="24"/>
        </w:rPr>
        <w:t>7. Размер платы формируется на основе себестоимости оказания услуги (работы), с учетом спроса на услугу (работу), требований к качеству услуги (работы) в соответствии с показателями муниципального задания, а также с учетом расчетно-нормативных затрат на оказание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8"/>
      <w:bookmarkEnd w:id="6"/>
      <w:r w:rsidRPr="00D91F90">
        <w:rPr>
          <w:rFonts w:ascii="Times New Roman" w:eastAsia="Times New Roman" w:hAnsi="Times New Roman" w:cs="Times New Roman"/>
          <w:sz w:val="24"/>
          <w:szCs w:val="24"/>
        </w:rPr>
        <w:t>8. Затраты учреждения делятся на затраты, непосредственно связанные с оказанием 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9"/>
      <w:bookmarkEnd w:id="7"/>
      <w:r w:rsidRPr="00D91F90">
        <w:rPr>
          <w:rFonts w:ascii="Times New Roman" w:eastAsia="Times New Roman" w:hAnsi="Times New Roman" w:cs="Times New Roman"/>
          <w:sz w:val="24"/>
          <w:szCs w:val="24"/>
        </w:rPr>
        <w:t>9. К затратам, непосредственно связанным с оказанием услуги (работы), относятся:</w:t>
      </w:r>
    </w:p>
    <w:bookmarkEnd w:id="8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персонал, непосредственно участвующий в процессе оказания услуги (работы) (далее - основной персонал);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материальные запасы, полностью потребляемые в процессе оказания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(амортизация) оборудования, используемого в процессе оказания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прочие расходы, отражающие специфику оказания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10"/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10. 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bookmarkEnd w:id="9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персонал учреждения, не участвующего непосредственно в процессе оказания услуги (работы) (далее - административно-управленческий персонал);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(амортизация) зданий, сооружений и других основных фондов, непосредственно не связанных с оказанием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11"/>
      <w:r w:rsidRPr="00D91F90">
        <w:rPr>
          <w:rFonts w:ascii="Times New Roman" w:eastAsia="Times New Roman" w:hAnsi="Times New Roman" w:cs="Times New Roman"/>
          <w:sz w:val="24"/>
          <w:szCs w:val="24"/>
        </w:rPr>
        <w:t>11. Для расчета затрат на оказание услуги (работы) может быть использован расчетно-аналитический метод или метод прямого счета.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2"/>
      <w:bookmarkEnd w:id="10"/>
      <w:r w:rsidRPr="00D91F90">
        <w:rPr>
          <w:rFonts w:ascii="Times New Roman" w:eastAsia="Times New Roman" w:hAnsi="Times New Roman" w:cs="Times New Roman"/>
          <w:sz w:val="24"/>
          <w:szCs w:val="24"/>
        </w:rPr>
        <w:t>12. Расчетно-аналитический метод применяется в случаях, когда в оказании услуги (работы) задействованы в равной степени весь основной персонал учреждения и все материальные ресурсы.</w:t>
      </w:r>
    </w:p>
    <w:bookmarkEnd w:id="11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При использовании расчетно-аналитического метода применяется следующая формула: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1"/>
    </w:p>
    <w:bookmarkEnd w:id="12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7700" cy="6223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Зусл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оказание единицы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3175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- сумма всех затрат учреждения за период времени;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Фр</w:t>
      </w:r>
      <w:proofErr w:type="gramStart"/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- фонд рабочего времени основного персонала учреждения за тот же период времени;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Тусл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- норма рабочего времени, затрачиваемого основным персоналом на оказание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13"/>
      <w:r w:rsidRPr="00D91F90">
        <w:rPr>
          <w:rFonts w:ascii="Times New Roman" w:eastAsia="Times New Roman" w:hAnsi="Times New Roman" w:cs="Times New Roman"/>
          <w:sz w:val="24"/>
          <w:szCs w:val="24"/>
        </w:rPr>
        <w:t>13.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</w:t>
      </w:r>
    </w:p>
    <w:bookmarkEnd w:id="13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При использовании метода прямого счета затраты на оказание услуги (работы) рассчитываются исходя из расчета затрат на оказание услуги (работы) с учетом всех элементов затрат по следующей формуле: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2"/>
    </w:p>
    <w:bookmarkEnd w:id="14"/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b/>
          <w:sz w:val="24"/>
          <w:szCs w:val="24"/>
        </w:rPr>
        <w:t>Зусл = Зоп + Змз + Аусл + Зн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Зусл - затраты на оказание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Зоп - затраты на основной персонал, непосредственно принимающий участие в оказании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Змз - затраты на приобретение материальных запасов, потребляемых в процессе оказания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Аусл - сумма начисленной амортизации оборудования, используемого при оказании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Зн - накладные затраты, относимые на стоимость услуги (работы).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основной персонал включают в себя: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оплату труда и начисления на выплаты по оплате труда основного персонала;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командировки основного персонала, связанные с оказанием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суммы вознаграждения сотрудников, привлекаемых по гражданско-правовым договорам.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рассчитываются как результат умножения стоимости единицы рабочего времени (например, человеко-дня, человеко-часа)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0" cy="3175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Зоп - затраты на оплату труда и начисления на выплаты по оплате труда основного персонала;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Тусл - норма рабочего времени, затрачиваемого основным персоналом;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ОТч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труда персонала, непосредственно участвующего в процессе оказания услуги (работы), приводится по форме согласно приложению № 1 к настоящему Порядку.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14"/>
      <w:r w:rsidRPr="00D91F90">
        <w:rPr>
          <w:rFonts w:ascii="Times New Roman" w:eastAsia="Times New Roman" w:hAnsi="Times New Roman" w:cs="Times New Roman"/>
          <w:sz w:val="24"/>
          <w:szCs w:val="24"/>
        </w:rPr>
        <w:t>14. Затраты на приобретение материальных запасов и услуг, полностью потребляемых в процессе оказания услуги (работы), включают в себя (в зависимости от отраслевой специфики):</w:t>
      </w:r>
    </w:p>
    <w:bookmarkEnd w:id="15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мягкий инвентарь;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приобретение расходных материалов для оргтехники;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другие материальные запасы.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0" cy="482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Змз - затраты на материальные запасы, потребляемые в процессе оказания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40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- материальные запасы определенного вида;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0" cy="419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- цена приобретаемых материальных запасов.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затрат на материальные запасы, непосредственно потребляемые в процессе оказания услуги (работы), проводится по форме согласно приложению № 2 к настоящему Порядку.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15"/>
      <w:r w:rsidRPr="00D91F90">
        <w:rPr>
          <w:rFonts w:ascii="Times New Roman" w:eastAsia="Times New Roman" w:hAnsi="Times New Roman" w:cs="Times New Roman"/>
          <w:sz w:val="24"/>
          <w:szCs w:val="24"/>
        </w:rPr>
        <w:t>15.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bookmarkEnd w:id="16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суммы начисленной амортизации оборудования, используемого при оказании услуги (работы), проводится по форме согласно приложению № 3 к настоящему Порядку.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16"/>
      <w:r w:rsidRPr="00D91F90">
        <w:rPr>
          <w:rFonts w:ascii="Times New Roman" w:eastAsia="Times New Roman" w:hAnsi="Times New Roman" w:cs="Times New Roman"/>
          <w:sz w:val="24"/>
          <w:szCs w:val="24"/>
        </w:rPr>
        <w:t>16. Объем накладных затрат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 (работы), и рассчитывается по следующей формуле: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3"/>
      <w:bookmarkEnd w:id="17"/>
    </w:p>
    <w:bookmarkEnd w:id="18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03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330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4"/>
    </w:p>
    <w:bookmarkEnd w:id="19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F90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Зауп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Зохн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Аохн - прогноз суммы начисленной амортизации имущества общехозяйственного назначения в плановом периоде;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Зоп -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на административно-управленческий персонал включают в себя: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нормативные затраты на командировки административно-управленческого персонала;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по повышению квалификации основного и административно-управленческого персонала.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Затраты общехозяйственного назначения включают в себя: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-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услуги (работы);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- затраты на содержание недвижимого и особо ценного движимого имущества, в том числе затраты на охрану (обслуживание тревожных кнопок,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 оказания услуги (работы), затраты</w:t>
      </w:r>
      <w:proofErr w:type="gramEnd"/>
      <w:r w:rsidRPr="00D91F90">
        <w:rPr>
          <w:rFonts w:ascii="Times New Roman" w:eastAsia="Times New Roman" w:hAnsi="Times New Roman" w:cs="Times New Roman"/>
          <w:sz w:val="24"/>
          <w:szCs w:val="24"/>
        </w:rPr>
        <w:t xml:space="preserve"> на уборку помещений, на содержание транспорта, санитарную обработку помещений.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накладных затрат проводится по форме согласно приложению N 4 к настоящему Порядку.</w:t>
      </w: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17"/>
      <w:r w:rsidRPr="00D91F90">
        <w:rPr>
          <w:rFonts w:ascii="Times New Roman" w:eastAsia="Times New Roman" w:hAnsi="Times New Roman" w:cs="Times New Roman"/>
          <w:sz w:val="24"/>
          <w:szCs w:val="24"/>
        </w:rPr>
        <w:t>17. Расчет размера платы проводится по форме согласно приложению N 5 к настоящему Порядку.</w:t>
      </w:r>
    </w:p>
    <w:bookmarkEnd w:id="20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6740" w:rsidRPr="00D91F90" w:rsidRDefault="00FC6740" w:rsidP="00FC6740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100"/>
      <w:r w:rsidRPr="00D91F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 1</w:t>
      </w:r>
    </w:p>
    <w:bookmarkEnd w:id="21"/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труда персонала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(наименование услуги (работы)</w:t>
      </w:r>
      <w:proofErr w:type="gramEnd"/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3"/>
        <w:gridCol w:w="1876"/>
        <w:gridCol w:w="1576"/>
        <w:gridCol w:w="1701"/>
        <w:gridCol w:w="2551"/>
      </w:tblGrid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22" w:name="sub_1101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Должность</w:t>
            </w:r>
            <w:bookmarkEnd w:id="22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Месячный фонд рабочего времени (мин.)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Норма времени на оказание платной услуги (мин.)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Затраты на оплату труда персонала (руб.)</w:t>
            </w:r>
          </w:p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(5)=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(2)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/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(3)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*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(4)</w:t>
            </w:r>
          </w:p>
        </w:tc>
      </w:tr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</w:tr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sub_1200"/>
      <w:r w:rsidRPr="00D91F90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</w:p>
    <w:bookmarkEnd w:id="23"/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затрат на материальные запасы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(наименование услуги (работы)</w:t>
      </w:r>
      <w:proofErr w:type="gramEnd"/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3"/>
        <w:gridCol w:w="1583"/>
        <w:gridCol w:w="1836"/>
        <w:gridCol w:w="1424"/>
        <w:gridCol w:w="2551"/>
      </w:tblGrid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24" w:name="sub_1201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материальных запасов</w:t>
            </w:r>
            <w:bookmarkEnd w:id="24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Расход (в ед. измерения)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Цена за единицу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Всего затрат материальных запасов</w:t>
            </w:r>
          </w:p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(5)= 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(3)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*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(4)</w:t>
            </w:r>
          </w:p>
        </w:tc>
      </w:tr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</w:tr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sub_1300"/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3</w:t>
      </w:r>
    </w:p>
    <w:bookmarkEnd w:id="25"/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суммы начисленной амортизации оборудования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(наименование услуги (работы)</w:t>
      </w:r>
      <w:proofErr w:type="gramEnd"/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384"/>
        <w:gridCol w:w="1134"/>
        <w:gridCol w:w="1701"/>
        <w:gridCol w:w="1701"/>
        <w:gridCol w:w="2126"/>
      </w:tblGrid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26" w:name="sub_1301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оборудования</w:t>
            </w:r>
            <w:bookmarkEnd w:id="2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Годовая норма износа</w:t>
            </w:r>
            <w:proofErr w:type="gramStart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Сумма начисленной амортизации</w:t>
            </w:r>
          </w:p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(6)=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(2)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*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(3)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*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(4)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/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(5)</w:t>
            </w:r>
          </w:p>
        </w:tc>
      </w:tr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</w:tr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400"/>
      <w:r w:rsidRPr="00D91F90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4</w:t>
      </w:r>
    </w:p>
    <w:bookmarkEnd w:id="27"/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накладных затрат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(наименование услуги (работы)</w:t>
      </w:r>
      <w:proofErr w:type="gramEnd"/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4534"/>
        <w:gridCol w:w="4399"/>
      </w:tblGrid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28" w:name="sub_1401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  <w:bookmarkEnd w:id="28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Прогноз затрат на административно-управленческий персонал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29" w:name="sub_1402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bookmarkEnd w:id="29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Прогноз затрат общехозяйственного назначения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30" w:name="sub_1403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  <w:bookmarkEnd w:id="3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31" w:name="sub_1404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  <w:bookmarkEnd w:id="31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Прогноз суммарного фонда оплаты труда основного персонала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32" w:name="sub_1405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bookmarkEnd w:id="32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(5)={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(1)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+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(2)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+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(3)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}/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(4)</w:t>
            </w: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33" w:name="sub_1406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  <w:bookmarkEnd w:id="33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34" w:name="sub_1407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  <w:bookmarkEnd w:id="34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Итого накладные затраты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(7)=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(5)</w:t>
            </w: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*</w:t>
            </w:r>
            <w:r w:rsidRPr="00D91F90">
              <w:rPr>
                <w:rFonts w:ascii="Times New Roman" w:eastAsia="Times New Roman" w:hAnsi="Times New Roman" w:cs="Arial"/>
                <w:color w:val="008000"/>
                <w:sz w:val="24"/>
                <w:szCs w:val="24"/>
              </w:rPr>
              <w:t>(6)</w:t>
            </w:r>
          </w:p>
        </w:tc>
      </w:tr>
    </w:tbl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500"/>
    </w:p>
    <w:p w:rsidR="00FC6740" w:rsidRPr="00D91F90" w:rsidRDefault="00FC6740" w:rsidP="00FC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6740" w:rsidRPr="00D91F90" w:rsidRDefault="00FC6740" w:rsidP="00FC6740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5</w:t>
      </w:r>
    </w:p>
    <w:bookmarkEnd w:id="35"/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F90">
        <w:rPr>
          <w:rFonts w:ascii="Times New Roman" w:eastAsia="Times New Roman" w:hAnsi="Times New Roman" w:cs="Times New Roman"/>
          <w:sz w:val="24"/>
          <w:szCs w:val="24"/>
        </w:rPr>
        <w:t>Расчет размера платы на оказание услуги (работы)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D91F90">
        <w:rPr>
          <w:rFonts w:ascii="Times New Roman" w:eastAsia="Times New Roman" w:hAnsi="Times New Roman" w:cs="Times New Roman"/>
          <w:sz w:val="24"/>
          <w:szCs w:val="24"/>
        </w:rPr>
        <w:br/>
        <w:t>(наименование услуги (работы)</w:t>
      </w:r>
      <w:proofErr w:type="gramEnd"/>
    </w:p>
    <w:p w:rsidR="00FC6740" w:rsidRPr="00D91F90" w:rsidRDefault="00FC6740" w:rsidP="00FC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7087"/>
        <w:gridCol w:w="1608"/>
      </w:tblGrid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</w:t>
            </w:r>
            <w:proofErr w:type="gramStart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gramEnd"/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Сумма (руб.)</w:t>
            </w: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Накладные затраты, относимые на платную услугу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Итого затрат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C6740" w:rsidRPr="00D91F90" w:rsidTr="00FD78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1F90">
              <w:rPr>
                <w:rFonts w:ascii="Times New Roman" w:eastAsia="Times New Roman" w:hAnsi="Times New Roman" w:cs="Arial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0" w:rsidRPr="00D91F90" w:rsidRDefault="00FC6740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000000" w:rsidRDefault="00FC67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C6740"/>
    <w:rsid w:val="00FC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12500</Characters>
  <Application>Microsoft Office Word</Application>
  <DocSecurity>0</DocSecurity>
  <Lines>104</Lines>
  <Paragraphs>29</Paragraphs>
  <ScaleCrop>false</ScaleCrop>
  <Company>Microsoft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2013-06-13T06:55:00Z</dcterms:created>
  <dcterms:modified xsi:type="dcterms:W3CDTF">2013-06-13T06:55:00Z</dcterms:modified>
</cp:coreProperties>
</file>