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D8" w:rsidRDefault="007E32D8" w:rsidP="007E32D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E32D8" w:rsidRDefault="007E32D8" w:rsidP="007E32D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E32D8" w:rsidRDefault="007E32D8" w:rsidP="007E32D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E32D8" w:rsidRDefault="007E32D8" w:rsidP="007E32D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E32D8" w:rsidRDefault="007E32D8" w:rsidP="007E32D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E32D8" w:rsidRDefault="007E32D8" w:rsidP="007E32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E32D8" w:rsidRDefault="007E32D8" w:rsidP="007E32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E32D8" w:rsidRDefault="007E32D8" w:rsidP="007E32D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E32D8" w:rsidRPr="008B7462" w:rsidRDefault="007E32D8" w:rsidP="007E32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18.02.2016 г.  № 19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E32D8" w:rsidRPr="008B7462" w:rsidRDefault="007E32D8" w:rsidP="007E32D8">
      <w:pPr>
        <w:jc w:val="both"/>
        <w:rPr>
          <w:rFonts w:ascii="Times New Roman" w:hAnsi="Times New Roman" w:cs="Times New Roman"/>
          <w:sz w:val="28"/>
          <w:szCs w:val="28"/>
        </w:rPr>
      </w:pPr>
      <w:r w:rsidRPr="008B7462">
        <w:rPr>
          <w:rFonts w:ascii="Times New Roman" w:hAnsi="Times New Roman" w:cs="Times New Roman"/>
          <w:sz w:val="28"/>
          <w:szCs w:val="28"/>
        </w:rPr>
        <w:t>«Об осуществлении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8B7462">
        <w:rPr>
          <w:rFonts w:ascii="Times New Roman" w:hAnsi="Times New Roman" w:cs="Times New Roman"/>
          <w:sz w:val="28"/>
          <w:szCs w:val="28"/>
        </w:rPr>
        <w:t>» полномочий заказчика на определение поставщиков (подрядчиков, исполнителей)»</w:t>
      </w:r>
    </w:p>
    <w:p w:rsidR="007E32D8" w:rsidRPr="008B7462" w:rsidRDefault="007E32D8" w:rsidP="007E32D8">
      <w:pPr>
        <w:pStyle w:val="ConsPlusNonformat"/>
        <w:ind w:left="-142" w:firstLine="142"/>
        <w:jc w:val="both"/>
        <w:rPr>
          <w:sz w:val="28"/>
          <w:szCs w:val="28"/>
        </w:rPr>
      </w:pPr>
      <w:r w:rsidRPr="008B7462">
        <w:rPr>
          <w:sz w:val="28"/>
          <w:szCs w:val="28"/>
        </w:rPr>
        <w:t xml:space="preserve">В соответствии с </w:t>
      </w:r>
      <w:hyperlink r:id="rId4" w:history="1">
        <w:r w:rsidRPr="008B7462">
          <w:rPr>
            <w:rStyle w:val="a3"/>
            <w:sz w:val="28"/>
            <w:szCs w:val="28"/>
          </w:rPr>
          <w:t>подпунктом "а" пункта 1 части 5 статьи 26</w:t>
        </w:r>
      </w:hyperlink>
      <w:r w:rsidRPr="008B7462">
        <w:rPr>
          <w:sz w:val="28"/>
          <w:szCs w:val="28"/>
        </w:rPr>
        <w:t xml:space="preserve"> Федерального закона от 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руководствуясь статьей 6 Устава муниципального образования «</w:t>
      </w:r>
      <w:r>
        <w:rPr>
          <w:sz w:val="28"/>
          <w:szCs w:val="28"/>
        </w:rPr>
        <w:t>Казачье</w:t>
      </w:r>
      <w:r w:rsidRPr="008B7462">
        <w:rPr>
          <w:sz w:val="28"/>
          <w:szCs w:val="28"/>
        </w:rPr>
        <w:t>»</w:t>
      </w:r>
    </w:p>
    <w:p w:rsidR="007E32D8" w:rsidRPr="008B7462" w:rsidRDefault="007E32D8" w:rsidP="007E32D8">
      <w:pPr>
        <w:pStyle w:val="ConsPlusNonformat"/>
        <w:ind w:hanging="851"/>
        <w:jc w:val="center"/>
        <w:rPr>
          <w:sz w:val="28"/>
          <w:szCs w:val="28"/>
        </w:rPr>
      </w:pPr>
      <w:r w:rsidRPr="008B7462">
        <w:rPr>
          <w:sz w:val="28"/>
          <w:szCs w:val="28"/>
        </w:rPr>
        <w:t>ПОСТАНОВЛЯЮ:</w:t>
      </w:r>
    </w:p>
    <w:p w:rsidR="007E32D8" w:rsidRPr="008B7462" w:rsidRDefault="007E32D8" w:rsidP="007E32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8B7462">
        <w:rPr>
          <w:rFonts w:ascii="Times New Roman" w:hAnsi="Times New Roman" w:cs="Times New Roman"/>
          <w:sz w:val="28"/>
          <w:szCs w:val="28"/>
        </w:rPr>
        <w:t>1. Определить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Казачье»</w:t>
      </w:r>
      <w:r w:rsidRPr="008B7462">
        <w:rPr>
          <w:rFonts w:ascii="Times New Roman" w:hAnsi="Times New Roman" w:cs="Times New Roman"/>
          <w:sz w:val="28"/>
          <w:szCs w:val="28"/>
        </w:rPr>
        <w:t xml:space="preserve"> органом, осуществляющим для муниципальных бюджетных учреждений культуры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8B7462">
        <w:rPr>
          <w:rFonts w:ascii="Times New Roman" w:hAnsi="Times New Roman" w:cs="Times New Roman"/>
          <w:sz w:val="28"/>
          <w:szCs w:val="28"/>
        </w:rPr>
        <w:t>», поименованных в перечне согласно приложению №1 к настоящему постановлению, полномочия заказчика на определение поставщиков (подрядчиков, исполнителей),  функции и полномочия учредителя которых осуществляет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Казачье»</w:t>
      </w:r>
    </w:p>
    <w:p w:rsidR="007E32D8" w:rsidRPr="008B7462" w:rsidRDefault="007E32D8" w:rsidP="007E32D8">
      <w:pPr>
        <w:jc w:val="both"/>
        <w:rPr>
          <w:rFonts w:ascii="Times New Roman" w:hAnsi="Times New Roman" w:cs="Times New Roman"/>
          <w:sz w:val="28"/>
          <w:szCs w:val="28"/>
        </w:rPr>
      </w:pPr>
      <w:r w:rsidRPr="008B7462">
        <w:rPr>
          <w:rFonts w:ascii="Times New Roman" w:hAnsi="Times New Roman" w:cs="Times New Roman"/>
          <w:sz w:val="28"/>
          <w:szCs w:val="28"/>
        </w:rPr>
        <w:t>2. Утвердить Положение о порядке взаимодействия  муниципальных бюджетных учреждений культуры, функции  и полномочия учредителя которых осуществляет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8B7462">
        <w:rPr>
          <w:rFonts w:ascii="Times New Roman" w:hAnsi="Times New Roman" w:cs="Times New Roman"/>
          <w:sz w:val="28"/>
          <w:szCs w:val="28"/>
        </w:rPr>
        <w:t>», на которую возложены полномочия заказчика в соответствии с пунктом  1  настоящего приказа при осуществлении им полномочий заказчика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6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(прилагается).</w:t>
      </w:r>
    </w:p>
    <w:p w:rsidR="007E32D8" w:rsidRPr="008B7462" w:rsidRDefault="007E32D8" w:rsidP="007E32D8">
      <w:pPr>
        <w:jc w:val="both"/>
        <w:rPr>
          <w:rFonts w:ascii="Times New Roman" w:hAnsi="Times New Roman" w:cs="Times New Roman"/>
          <w:sz w:val="28"/>
          <w:szCs w:val="28"/>
        </w:rPr>
      </w:pPr>
      <w:r w:rsidRPr="008B7462">
        <w:rPr>
          <w:rFonts w:ascii="Times New Roman" w:hAnsi="Times New Roman" w:cs="Times New Roman"/>
          <w:sz w:val="28"/>
          <w:szCs w:val="28"/>
        </w:rPr>
        <w:t>3. Бюджетным учреждениям, функции    и   полномочия   учредителя   которых  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6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8B7462">
        <w:rPr>
          <w:rFonts w:ascii="Times New Roman" w:hAnsi="Times New Roman" w:cs="Times New Roman"/>
          <w:sz w:val="28"/>
          <w:szCs w:val="28"/>
        </w:rPr>
        <w:t>», не  включенным  в  перечень  согласно  приложению  1  к настоящему приказу, осуществлять полномочия заказчика самостоятельно.</w:t>
      </w:r>
    </w:p>
    <w:p w:rsidR="007E32D8" w:rsidRPr="008B7462" w:rsidRDefault="007E32D8" w:rsidP="007E32D8">
      <w:pPr>
        <w:jc w:val="both"/>
        <w:rPr>
          <w:rFonts w:ascii="Times New Roman" w:hAnsi="Times New Roman" w:cs="Times New Roman"/>
          <w:sz w:val="28"/>
          <w:szCs w:val="28"/>
        </w:rPr>
      </w:pPr>
      <w:r w:rsidRPr="008B7462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Pr="008B7462">
        <w:rPr>
          <w:rFonts w:ascii="Times New Roman" w:hAnsi="Times New Roman" w:cs="Times New Roman"/>
          <w:sz w:val="28"/>
          <w:szCs w:val="28"/>
        </w:rPr>
        <w:t>.</w:t>
      </w:r>
    </w:p>
    <w:p w:rsidR="007E32D8" w:rsidRPr="008B7462" w:rsidRDefault="007E32D8" w:rsidP="007E32D8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  <w:bookmarkStart w:id="1" w:name="P134"/>
      <w:bookmarkEnd w:id="1"/>
    </w:p>
    <w:tbl>
      <w:tblPr>
        <w:tblpPr w:leftFromText="180" w:rightFromText="180" w:bottomFromText="200" w:vertAnchor="text" w:horzAnchor="margin" w:tblpXSpec="right" w:tblpY="-70"/>
        <w:tblW w:w="0" w:type="auto"/>
        <w:tblLook w:val="01E0"/>
      </w:tblPr>
      <w:tblGrid>
        <w:gridCol w:w="222"/>
        <w:gridCol w:w="5106"/>
      </w:tblGrid>
      <w:tr w:rsidR="00797B22" w:rsidTr="00797B22">
        <w:tc>
          <w:tcPr>
            <w:tcW w:w="0" w:type="auto"/>
          </w:tcPr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 Казачье»</w:t>
            </w:r>
          </w:p>
          <w:p w:rsidR="00797B22" w:rsidRDefault="00797B22">
            <w:pPr>
              <w:pStyle w:val="ConsPlusNonformat"/>
              <w:spacing w:line="276" w:lineRule="auto"/>
              <w:ind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18.02.2016 № 19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bookmarkStart w:id="2" w:name="P151"/>
      <w:bookmarkEnd w:id="2"/>
      <w:r>
        <w:rPr>
          <w:sz w:val="28"/>
          <w:szCs w:val="28"/>
        </w:rPr>
        <w:t xml:space="preserve">                               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Заказчиков муниципального образования «Казачье»,  бюджетных учреждений, для которых полномочия заказчика осуществляет администрация муниципального образования «Казачье»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7654"/>
      </w:tblGrid>
      <w:tr w:rsidR="00797B22" w:rsidTr="00797B2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22" w:rsidRDefault="00797B22">
            <w:pPr>
              <w:pStyle w:val="ConsPlusNormal"/>
              <w:spacing w:line="276" w:lineRule="auto"/>
              <w:ind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 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22" w:rsidRDefault="00797B22">
            <w:pPr>
              <w:pStyle w:val="ConsPlusNormal"/>
              <w:spacing w:line="276" w:lineRule="auto"/>
              <w:ind w:hanging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бюджетных учреждений</w:t>
            </w:r>
          </w:p>
        </w:tc>
      </w:tr>
      <w:tr w:rsidR="00797B22" w:rsidTr="00797B2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22" w:rsidRDefault="00797B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22" w:rsidRDefault="00797B22">
            <w:pPr>
              <w:pStyle w:val="ConsPlusNormal"/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«Социально-культурный центр Благовест» муниципального образования «Казачье»</w:t>
            </w:r>
          </w:p>
        </w:tc>
      </w:tr>
    </w:tbl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rmal"/>
        <w:ind w:hanging="851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70"/>
        <w:tblW w:w="0" w:type="auto"/>
        <w:tblLook w:val="01E0"/>
      </w:tblPr>
      <w:tblGrid>
        <w:gridCol w:w="222"/>
        <w:gridCol w:w="5176"/>
      </w:tblGrid>
      <w:tr w:rsidR="00797B22" w:rsidTr="00797B22">
        <w:tc>
          <w:tcPr>
            <w:tcW w:w="0" w:type="auto"/>
          </w:tcPr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 Казачье »</w:t>
            </w:r>
          </w:p>
          <w:p w:rsidR="00797B22" w:rsidRDefault="00797B22">
            <w:pPr>
              <w:pStyle w:val="ConsPlusNonformat"/>
              <w:spacing w:line="276" w:lineRule="auto"/>
              <w:ind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18.02.2016 №19</w:t>
            </w:r>
          </w:p>
          <w:p w:rsidR="00797B22" w:rsidRDefault="00797B22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ind w:hanging="851"/>
        <w:jc w:val="both"/>
        <w:rPr>
          <w:sz w:val="28"/>
          <w:szCs w:val="28"/>
        </w:rPr>
      </w:pPr>
    </w:p>
    <w:p w:rsidR="00797B22" w:rsidRDefault="00797B22" w:rsidP="00797B22">
      <w:pPr>
        <w:pStyle w:val="ConsPlusNonformat"/>
        <w:tabs>
          <w:tab w:val="left" w:pos="284"/>
        </w:tabs>
        <w:ind w:left="-851"/>
        <w:jc w:val="center"/>
        <w:rPr>
          <w:sz w:val="28"/>
          <w:szCs w:val="28"/>
        </w:rPr>
      </w:pPr>
      <w:bookmarkStart w:id="3" w:name="P224"/>
      <w:bookmarkEnd w:id="3"/>
      <w:r>
        <w:rPr>
          <w:sz w:val="28"/>
          <w:szCs w:val="28"/>
        </w:rPr>
        <w:t xml:space="preserve">                                                     ПОЛОЖЕНИЕ</w:t>
      </w:r>
    </w:p>
    <w:p w:rsidR="00797B22" w:rsidRDefault="00797B22" w:rsidP="00797B22">
      <w:pPr>
        <w:pStyle w:val="ConsPlusNonformat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взаимодействия бюджетных учреждений</w:t>
      </w:r>
    </w:p>
    <w:p w:rsidR="00797B22" w:rsidRDefault="00797B22" w:rsidP="00797B22">
      <w:pPr>
        <w:pStyle w:val="ConsPlusNonformat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«Казачье»</w:t>
      </w:r>
    </w:p>
    <w:p w:rsidR="00797B22" w:rsidRDefault="00797B22" w:rsidP="00797B22">
      <w:pPr>
        <w:pStyle w:val="ConsPlusNonformat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с администрацией муниципального образования «Казачье»</w:t>
      </w:r>
    </w:p>
    <w:p w:rsidR="00797B22" w:rsidRDefault="00797B22" w:rsidP="00797B22">
      <w:pPr>
        <w:pStyle w:val="ConsPlusNonformat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ей полномочий заказчика</w:t>
      </w:r>
    </w:p>
    <w:p w:rsidR="00797B22" w:rsidRDefault="00797B22" w:rsidP="00797B22">
      <w:pPr>
        <w:pStyle w:val="ConsPlusNonformat"/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t>на определение поставщиков (подрядчиков, исполнителей)</w:t>
      </w:r>
    </w:p>
    <w:p w:rsidR="00797B22" w:rsidRDefault="00797B22" w:rsidP="00797B22">
      <w:pPr>
        <w:jc w:val="center"/>
        <w:rPr>
          <w:sz w:val="28"/>
          <w:szCs w:val="28"/>
        </w:rPr>
      </w:pP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 Настоящее    Положение    определяет    порядок    взаимодействия Бюджетных учреждений муниципального образования «Казачье» (далее «заказчика») с администрацией муниципального образования «Казачье» (далее «уполномоченный орган»)  при  осуществлении  им  полномочий  на определение   поставщиков  (подрядчиков,  исполнителей)  в  соответствии  с Федеральным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 закупок  товаров,  работ,  услуг  для  обеспечения государственных и муниципальных нужд" (далее - Федеральный закон N 44-ФЗ).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На  основании  планов  закупок  и планов-графиков закупок заказчики формируют в автоматизированной системе "Автоматизированный центр контроля -Государственный   заказ"   электронный  документ  -  заявку  на  закупку  и осуществляют ее подачу в уполномоченный орган.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7"/>
      <w:bookmarkEnd w:id="4"/>
      <w:r>
        <w:rPr>
          <w:rFonts w:ascii="Times New Roman" w:hAnsi="Times New Roman" w:cs="Times New Roman"/>
          <w:sz w:val="28"/>
          <w:szCs w:val="28"/>
        </w:rPr>
        <w:t xml:space="preserve">    3. Уполномоченный орган: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проверяет  обоснованность  выбора  способа  определения  поставщика (подрядчика, исполнителя) на соответствие требованиям законодательства;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 запрашивает  и  получает  у  заказчиков  информацию  и  документы, необходимые для проверки сведений, содержащихся в заявке на закупку;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 возвращает  заявку  на  закупку  заказчику  в  случае  его  отказа представить  необходимые  для  проверки информацию и документы, без которых проведение такой проверки невозможно;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разрабатывает  и  утверждает  извещение  об  осуществлении закупки, документацию о закупке;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5) размещает информацию, предусмотренную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44-ФЗ, в единой   информационной   системе   в   сфере   закупок   (далее  -  единая информационная  система),  до  ввода  в эксплуатацию указанной системы – на официальном сайте Российской Федерации в информационно-телекоммуникационной сети 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предоставляет, размещает в единой информационной системе разъяснения положений документации участникам закупок;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 на  основании  принятого  решения  формирует  и  размещает в единой информационной  системе  информацию  о  внесении  изменений  в извещение об осуществлении   закупки   и   (или)   документацию   в   порядке  и  сроки,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 на  основании  принятого в соответствии с требованиями Федерального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N  44-ФЗ  решения  формирует  и  размещает  в единой информационной системе   извещение   об   отмене   определения   поставщика   (подрядчика, исполнителя);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  обеспечивает   подготовку   протоколов   заседания   комиссий   по осуществлению закупок и размещает их в единой информационной системе.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Заказчик: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осуществляет  описание объекта закупки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выбирает  способ определения поставщика (подрядчика, исполнителя) и обосновывает выбор этого способа в соответствии с законодательством;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определяет и обосновывает начальную (максимальную) цену контракта, в том  числе  начальную (максимальную) цену каждой позиции заявки на закупку, если  в заявку на закупку включены несколько видов товаров, работ, услуг, в соответствии с законодательством;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устанавливает  требования  к  участникам  закупки  в соответствии с законодательством;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   предоставляет   преимущества   для   учреждений   и   предприятий уголовно-исполнительной   системы,   организаций   инвалидов   в  отношении предлагаемой  ими  цены  контракта  в  соответствии  с  законодательством и определяет их размер;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6)  определяет  необходимость  осуществления закупок у субъектов малого предпринимательства, социально ориентированных некоммерческих организаций в соответствии с законодательством;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  устанавливает   условия,  запреты,  ограничения  допуска  товаров, происходящих из иностранного государства или группы иностранных государств, работ,  услуг, соответственно выполняемых, оказываемых иностранными лицами, в случаях, предусмотренных законодательством;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 устанавливает требование к обеспечению заявки на участие в закупке, размер  такого обеспечения 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44-ФЗ, а также  условия  банковской  гарантии  (если такой способ обеспечения заявок применим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44-ФЗ);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  устанавливает   размер,   порядок   предоставления,  требования  к обеспечению  исполнения  контракта  в  соответствии  с  Федеральным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 определяет  в  соответствии  с законодательством критерии оценки и величины  их  значимости  в целях применения для оценки заявок на участие в определении    поставщиков   (подрядчиков,   исполнителей),   окончательных предложений участников закупки;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  утверждает  заявку  на закупку, в том числе документы и входящие в нее сведения;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 на  закупку  и  подготовки  документации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рабочих (календарных) дней со дня получения запроса уполномоченного органа;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  по   запросу   уполномоченного  органа  направляет  в  его  адрес разъяснения положений документации;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14)  направляет в уполномоченный орган уведомление о внесении изменений в извещение об осуществлении закупки и (или) документацию о закупке;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направляет в уполномоченный орган уведомление об отмене определения поставщика (подрядчика, исполнителя).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Уполномоченный орган при отсутствии замечаний к заявке на закупку и документам,   представленным   в  ее  составе,  осуществляет  разработку  и утверждение извещения об осуществлении закупки, документации, размещение их в 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системе. При наличии замечаний заявка на закупку с обоснованием принятого решения возвращается заказчику.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 Направление  одного  экземпляра  протокола,  контракта  победителю определения   поставщика   (исполнителя,  подрядчика),  а  также  действия, связанные  с  согласованием заключения контракта с единственным поставщиком (исполнителем,  подрядчиком),  отказом  от заключения контракта, признанием победителя  уклонившимся  от  заключения контракта, подписание контракта по результатам   определения   поставщика   (исполнителя,  подрядчика)  и  его исполнение осуществляются заказчиком.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2"/>
      <w:bookmarkEnd w:id="5"/>
      <w:r>
        <w:rPr>
          <w:rFonts w:ascii="Times New Roman" w:hAnsi="Times New Roman" w:cs="Times New Roman"/>
          <w:sz w:val="28"/>
          <w:szCs w:val="28"/>
        </w:rPr>
        <w:t xml:space="preserve">    7.  Заказчик  не  позднее  3  рабочих  дней с даты заключения контракта осуществляет     его     регистрацию     в    автоматизированной    системе "Автоматизированный центр контроля - Государственный заказ" &lt;5&gt;.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В целях реализации полномочий, предусмотренных настоящим Положением, уполномоченный  орган  и заказчики создают соответствующие комиссии, издают регламенты,   положения,   другие   правовые  акты,  а  также  обеспечивают выполнение иных необходимых в соответствии с законодательством мероприятий.</w:t>
      </w:r>
    </w:p>
    <w:p w:rsidR="00797B22" w:rsidRDefault="00797B22" w:rsidP="00797B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  Уполномоченный   орган   и   заказчики   несут   ответственность, предусмотренную законодательством, в соответствии с разграничением функций, предусмотренных настоящим Положением.</w:t>
      </w:r>
    </w:p>
    <w:p w:rsidR="00797B22" w:rsidRDefault="00797B22" w:rsidP="00797B22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D8"/>
    <w:rsid w:val="003A3629"/>
    <w:rsid w:val="004E48EF"/>
    <w:rsid w:val="00797B22"/>
    <w:rsid w:val="007E32D8"/>
    <w:rsid w:val="00F5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32D8"/>
    <w:rPr>
      <w:color w:val="000080"/>
      <w:u w:val="single"/>
    </w:rPr>
  </w:style>
  <w:style w:type="paragraph" w:customStyle="1" w:styleId="ConsPlusNonformat">
    <w:name w:val="ConsPlusNonformat"/>
    <w:rsid w:val="007E32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79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FA60C8B9676C821C25C19B615F45472C06ADF93BE116D7349F7FE3FD7Z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4FA60C8B9676C821C25C19B615F45472C06ADF93BE116D7349F7FE3FD7Z3H" TargetMode="External"/><Relationship Id="rId12" Type="http://schemas.openxmlformats.org/officeDocument/2006/relationships/hyperlink" Target="consultantplus://offline/ref=AD4FA60C8B9676C821C25C19B615F45472C06ADF93BE116D7349F7FE3FD7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FA60C8B9676C821C25C19B615F45472C06ADF93BE116D7349F7FE3FD7Z3H" TargetMode="External"/><Relationship Id="rId11" Type="http://schemas.openxmlformats.org/officeDocument/2006/relationships/hyperlink" Target="consultantplus://offline/ref=AD4FA60C8B9676C821C25C19B615F45472C06ADF93BE116D7349F7FE3FD7Z3H" TargetMode="External"/><Relationship Id="rId5" Type="http://schemas.openxmlformats.org/officeDocument/2006/relationships/hyperlink" Target="consultantplus://offline/ref=AD4FA60C8B9676C821C25C19B615F45472C06ADF93BE116D7349F7FE3FD7Z3H" TargetMode="External"/><Relationship Id="rId10" Type="http://schemas.openxmlformats.org/officeDocument/2006/relationships/hyperlink" Target="consultantplus://offline/ref=AD4FA60C8B9676C821C25C19B615F45472C06ADF93BE116D7349F7FE3FD7Z3H" TargetMode="External"/><Relationship Id="rId4" Type="http://schemas.openxmlformats.org/officeDocument/2006/relationships/hyperlink" Target="consultantplus://offline/ref=AD4FA60C8B9676C821C25C19B615F45472C06ADF93BE116D7349F7FE3F73DA33E2DA933A979896FAD7Z8H" TargetMode="External"/><Relationship Id="rId9" Type="http://schemas.openxmlformats.org/officeDocument/2006/relationships/hyperlink" Target="consultantplus://offline/ref=AD4FA60C8B9676C821C25C19B615F45472C06ADF93BE116D7349F7FE3FD7Z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9391</Characters>
  <Application>Microsoft Office Word</Application>
  <DocSecurity>0</DocSecurity>
  <Lines>78</Lines>
  <Paragraphs>22</Paragraphs>
  <ScaleCrop>false</ScaleCrop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2016-03-03T08:00:00Z</dcterms:created>
  <dcterms:modified xsi:type="dcterms:W3CDTF">2016-03-03T08:10:00Z</dcterms:modified>
</cp:coreProperties>
</file>