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7B" w:rsidRPr="00722C7B" w:rsidRDefault="00722C7B" w:rsidP="00722C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C7B">
        <w:rPr>
          <w:rFonts w:ascii="Arial" w:eastAsia="Times New Roman" w:hAnsi="Arial" w:cs="Arial"/>
          <w:b/>
          <w:sz w:val="32"/>
          <w:szCs w:val="32"/>
          <w:lang w:eastAsia="ru-RU"/>
        </w:rPr>
        <w:t>27.12.2021г. №109</w:t>
      </w:r>
    </w:p>
    <w:p w:rsidR="00722C7B" w:rsidRPr="00722C7B" w:rsidRDefault="00722C7B" w:rsidP="00722C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C7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22C7B" w:rsidRPr="00722C7B" w:rsidRDefault="00722C7B" w:rsidP="00722C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C7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22C7B" w:rsidRPr="00722C7B" w:rsidRDefault="00722C7B" w:rsidP="00722C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C7B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722C7B" w:rsidRPr="00722C7B" w:rsidRDefault="00722C7B" w:rsidP="00722C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C7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«КАМЕНКА»</w:t>
      </w:r>
    </w:p>
    <w:p w:rsidR="00722C7B" w:rsidRPr="00722C7B" w:rsidRDefault="00722C7B" w:rsidP="00722C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C7B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22C7B" w:rsidRPr="00722C7B" w:rsidRDefault="00722C7B" w:rsidP="00722C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C7B" w:rsidRPr="00722C7B" w:rsidRDefault="00722C7B" w:rsidP="00722C7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2C7B">
        <w:rPr>
          <w:rFonts w:ascii="Arial" w:eastAsia="Times New Roman" w:hAnsi="Arial" w:cs="Arial"/>
          <w:b/>
          <w:sz w:val="32"/>
          <w:szCs w:val="32"/>
          <w:lang w:eastAsia="ru-RU"/>
        </w:rPr>
        <w:t>О  БЮДЖЕТЕ МУНИЦИПАЛЬНОГО ОБРАЗОВАНИЯ «КАМЕНКА» НА 2022 ГОД И ПЛАНОВЫЙ ПЕРИОД 2023</w:t>
      </w:r>
      <w:proofErr w:type="gramStart"/>
      <w:r w:rsidRPr="00722C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722C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2024 ГОДОВ</w:t>
      </w:r>
    </w:p>
    <w:p w:rsidR="00722C7B" w:rsidRPr="00722C7B" w:rsidRDefault="00722C7B" w:rsidP="00722C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C7B" w:rsidRPr="00722C7B" w:rsidRDefault="00722C7B" w:rsidP="00722C7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22C7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22C7B" w:rsidRPr="00722C7B" w:rsidRDefault="00722C7B" w:rsidP="00722C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C7B" w:rsidRPr="00722C7B" w:rsidRDefault="00722C7B" w:rsidP="00722C7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1.Принять  бюджет  муниципального образования «Каменка» на 2022 год и плановый период 2023 и 2024 годов: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Статья 1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местного бюджета на 2022 год:</w:t>
      </w:r>
    </w:p>
    <w:p w:rsidR="00722C7B" w:rsidRPr="00722C7B" w:rsidRDefault="00722C7B" w:rsidP="00722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19450,3 тыс. руб., в том числе безвозмездные поступления в сумме 14292,2 тыс. руб.;</w:t>
      </w:r>
    </w:p>
    <w:p w:rsidR="00722C7B" w:rsidRPr="00722C7B" w:rsidRDefault="00722C7B" w:rsidP="00722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местного бюджета в сумме 19708,3 тыс. руб.; 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258,0 тыс. руб., или 5 % утвержденного общего годового объема доходов бюджета МО «Каменка» без учета утвержденного объема безвозмездных поступлений.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местного бюджета на плановый период 2023 и 2024 годов: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2C7B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2023 год в сумме 15640,5 тыс. руб., в том числе безвозмездные поступления в сумме 11635,4 тыс. руб., общий объем расходов местного бюджета в сумме 15840,5 тыс. руб., в том числе условно утвержденные расходы в сумме 367,8 тыс. руб., размер дефицита местного бюджета в сумме 200,0 тыс. руб., или 5 % утвержденного общего годового объема доходов</w:t>
      </w:r>
      <w:proofErr w:type="gramEnd"/>
      <w:r w:rsidRPr="00722C7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«Каменка» без учета утвержденного объема безвозмездных поступлений;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2C7B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2024 год в сумме 13452,3 тыс. руб., в том числе безвозмездные поступления в сумме 9299,1 тыс. руб., общий объем расходов местного бюджета в сумме 13660,3 тыс. руб., в том числе условно утвержденные расходы в сумме 653,0 тыс. руб.; размер дефицита местного бюджета в сумме 208,0 тыс. руб., или 5 % утвержденного общего годового объема доходов</w:t>
      </w:r>
      <w:proofErr w:type="gramEnd"/>
      <w:r w:rsidRPr="00722C7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МО «Каменка» без учета утвержденного объема безвозмездных поступлений.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Статья 2</w:t>
      </w:r>
    </w:p>
    <w:p w:rsidR="00722C7B" w:rsidRPr="00722C7B" w:rsidRDefault="00722C7B" w:rsidP="00722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2022 – 2024 годах, формируются за счет:</w:t>
      </w:r>
    </w:p>
    <w:p w:rsidR="00722C7B" w:rsidRPr="00722C7B" w:rsidRDefault="00722C7B" w:rsidP="00722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</w:t>
      </w:r>
    </w:p>
    <w:p w:rsidR="00722C7B" w:rsidRPr="00722C7B" w:rsidRDefault="00722C7B" w:rsidP="00722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доходов от региональных налогов в соответствии с нормативами, установленными Бюджетным кодексом Российской Федерации и региональными законами;</w:t>
      </w:r>
    </w:p>
    <w:p w:rsidR="00722C7B" w:rsidRPr="00722C7B" w:rsidRDefault="00722C7B" w:rsidP="00722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 xml:space="preserve">доходов от федеральных налогов и сборов в соответствии с нормативами, установленными Бюджетным кодексом Российской Федерации и Федеральным </w:t>
      </w:r>
      <w:r w:rsidRPr="00722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законом «О федеральном бюджете на 2022 год и на плановый период 2023 и 2024 годов»;</w:t>
      </w:r>
    </w:p>
    <w:p w:rsidR="00722C7B" w:rsidRPr="00722C7B" w:rsidRDefault="00722C7B" w:rsidP="00722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722C7B" w:rsidRPr="00722C7B" w:rsidRDefault="00722C7B" w:rsidP="00722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Статья 3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 доходы местного бюджета на 2022 год и на плановый период 2023 и 2024 годов по классификации доходов бюджетов Российской Федерации согласно приложениям 1.1 и 1.2 к настоящему Решению.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Статья 4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1. Утвердить перечень главных администраторов доходов местного бюджета согласно приложению 5.1,5.2 к настоящему Решению.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перечень главных </w:t>
      </w:r>
      <w:proofErr w:type="gramStart"/>
      <w:r w:rsidRPr="00722C7B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722C7B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7.1 и 7.2 к настоящему Решению.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Администраторы бюджета муниципального образования осуществляют в соответствии с законодательством РФ, Иркутской области, правовым актом МО «Каменка» </w:t>
      </w:r>
      <w:proofErr w:type="gramStart"/>
      <w:r w:rsidRPr="00722C7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22C7B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3. В случае изменения в 2022 году и плановом периоде 2023 и 2024 годов состава и (или) функций администраторов доходов местного бюджета финансовый орган муниципального района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Статья 5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Установить распределение бюджетных ассигнований по разделам, подразделам классификации расходов бюджетов на 2022 год и плановый период 2023 и 2024 годов согласно приложениям 3.1,3.2 к настоящему Решению.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Статья 6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«Каменка» на 2022 год и на плановый период 2023 и 2024 годов согласно приложениям 4, 4.1 к настоящему Решению.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Статья 7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Установить объем резервного фонда бюджета МО «Каменка»: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в 2022 году в размере 9,0 тыс. рублей;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в 2023 году в размере 9,0 тыс. рублей;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в 2024 году в размере 9,0 тыс. рублей.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Статья 8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Установить объем дорожного фонда бюджета МО «Каменка»: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в 2021 году в размере 1323,0 тыс. рублей;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в 2022 году в размере 1386,8 тыс. рублей;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в 2023 году в размере 1497,9 тыс. рублей.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Статья 9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внесение изменений в установленном порядке в государственные программы Иркутской области;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государственных услуг;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3) внесение изменений в Указания о порядке применения бюджетной классификации Российской Федерации, утвержденные Министерством финансов Российской Федерации;</w:t>
      </w:r>
    </w:p>
    <w:p w:rsidR="00722C7B" w:rsidRPr="00722C7B" w:rsidRDefault="00722C7B" w:rsidP="0072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4) ликвидация, реорганизация, изменение наименования органов власти МО «Каменка», бюджетных и казенных учреждений;</w:t>
      </w:r>
    </w:p>
    <w:p w:rsidR="00722C7B" w:rsidRPr="00722C7B" w:rsidRDefault="00722C7B" w:rsidP="0072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 xml:space="preserve">5) уточнение </w:t>
      </w:r>
      <w:proofErr w:type="gramStart"/>
      <w:r w:rsidRPr="00722C7B">
        <w:rPr>
          <w:rFonts w:ascii="Arial" w:eastAsia="Times New Roman" w:hAnsi="Arial" w:cs="Arial"/>
          <w:sz w:val="24"/>
          <w:szCs w:val="24"/>
          <w:lang w:eastAsia="ru-RU"/>
        </w:rPr>
        <w:t>кодов видов расходов классификации расходов бюджетов</w:t>
      </w:r>
      <w:proofErr w:type="gramEnd"/>
      <w:r w:rsidRPr="00722C7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22C7B" w:rsidRPr="00722C7B" w:rsidRDefault="00722C7B" w:rsidP="0072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2C7B">
        <w:rPr>
          <w:rFonts w:ascii="Arial" w:eastAsia="Times New Roman" w:hAnsi="Arial" w:cs="Arial"/>
          <w:sz w:val="24"/>
          <w:szCs w:val="24"/>
          <w:lang w:eastAsia="ru-RU"/>
        </w:rPr>
        <w:t xml:space="preserve">6)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722C7B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722C7B">
        <w:rPr>
          <w:rFonts w:ascii="Arial" w:eastAsia="Times New Roman" w:hAnsi="Arial" w:cs="Arial"/>
          <w:sz w:val="24"/>
          <w:szCs w:val="24"/>
          <w:lang w:eastAsia="ru-RU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бюджета.</w:t>
      </w:r>
      <w:proofErr w:type="gramEnd"/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Статья 10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1. Установить верхний предел муниципального внутреннего долга МО «Каменка»: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1 января 2023 года в размере 258,0 тыс. руб., в том числе верхний предел долга по муниципальным гарантиям МО «Каменка – 0 тыс. руб.;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2024 года в размере 458,0 тыс. руб., в том числе верхний предел долга по муниципальным гарантиям МО «Каменка» – 0 тыс. руб.;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2025 года в размере 666,0 тыс. руб., в том числе верхний предел долга по муниципальным гарантиям  МО «Каменка» – 0 тыс. руб.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2. Утвердить программу внутренних заимствований МО «Каменка» на 2022 год и на плановый период 2023 и 2024 годов согласно приложению 8 к настоящему Решению.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Статья 11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Установить источники внутреннего финансирования дефицита бюджета МО «Каменка» на 2022 год и на плановый период 2023 и 2024 годов согласно приложениям 2.1, 2.2 к настоящему Решению.</w:t>
      </w:r>
    </w:p>
    <w:p w:rsidR="00722C7B" w:rsidRPr="00722C7B" w:rsidRDefault="00722C7B" w:rsidP="00722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22C7B">
        <w:rPr>
          <w:rFonts w:ascii="Arial" w:eastAsia="Times New Roman" w:hAnsi="Arial" w:cs="Arial"/>
          <w:sz w:val="24"/>
          <w:szCs w:val="24"/>
        </w:rPr>
        <w:t>Статья 12</w:t>
      </w:r>
    </w:p>
    <w:p w:rsidR="00722C7B" w:rsidRPr="00722C7B" w:rsidRDefault="00722C7B" w:rsidP="0072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2022 года.</w:t>
      </w:r>
    </w:p>
    <w:p w:rsidR="00722C7B" w:rsidRPr="00722C7B" w:rsidRDefault="00722C7B" w:rsidP="00722C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2C7B" w:rsidRPr="00722C7B" w:rsidRDefault="00722C7B" w:rsidP="00722C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722C7B" w:rsidRDefault="00722C7B" w:rsidP="00722C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«Каменка»</w:t>
      </w:r>
    </w:p>
    <w:p w:rsidR="00722C7B" w:rsidRPr="00722C7B" w:rsidRDefault="00722C7B" w:rsidP="00722C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2C7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22C7B">
        <w:rPr>
          <w:rFonts w:ascii="Arial" w:eastAsia="Calibri" w:hAnsi="Arial" w:cs="Arial"/>
          <w:sz w:val="24"/>
          <w:szCs w:val="24"/>
        </w:rPr>
        <w:t>В.Н.Артанов</w:t>
      </w:r>
      <w:proofErr w:type="spellEnd"/>
    </w:p>
    <w:p w:rsidR="00722C7B" w:rsidRPr="00722C7B" w:rsidRDefault="00722C7B" w:rsidP="00722C7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2C7B">
        <w:rPr>
          <w:noProof/>
          <w:lang w:eastAsia="ru-RU"/>
        </w:rPr>
        <w:lastRenderedPageBreak/>
        <w:drawing>
          <wp:inline distT="0" distB="0" distL="0" distR="0" wp14:anchorId="71A773E4" wp14:editId="4015F6C0">
            <wp:extent cx="5940425" cy="834908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9F0" w:rsidRPr="00C675BD" w:rsidRDefault="00722C7B" w:rsidP="00722C7B">
      <w:pPr>
        <w:rPr>
          <w:noProof/>
          <w:lang w:eastAsia="ru-RU"/>
        </w:rPr>
      </w:pPr>
      <w:r w:rsidRPr="00722C7B">
        <w:rPr>
          <w:noProof/>
          <w:lang w:eastAsia="ru-RU"/>
        </w:rPr>
        <w:lastRenderedPageBreak/>
        <w:drawing>
          <wp:inline distT="0" distB="0" distL="0" distR="0" wp14:anchorId="704EDB8C" wp14:editId="1C498E43">
            <wp:extent cx="5940425" cy="8944156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CC7" w:rsidRPr="00211CC7">
        <w:rPr>
          <w:noProof/>
          <w:lang w:eastAsia="ru-RU"/>
        </w:rPr>
        <w:lastRenderedPageBreak/>
        <w:drawing>
          <wp:inline distT="0" distB="0" distL="0" distR="0" wp14:anchorId="63C8E4A9" wp14:editId="2CF90E46">
            <wp:extent cx="5940425" cy="5636253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CC7" w:rsidRPr="00211CC7">
        <w:rPr>
          <w:noProof/>
          <w:lang w:eastAsia="ru-RU"/>
        </w:rPr>
        <w:lastRenderedPageBreak/>
        <w:drawing>
          <wp:inline distT="0" distB="0" distL="0" distR="0" wp14:anchorId="7A0102DA" wp14:editId="13D75EA8">
            <wp:extent cx="5940425" cy="461239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CC7" w:rsidRPr="00211CC7">
        <w:rPr>
          <w:noProof/>
          <w:lang w:eastAsia="ru-RU"/>
        </w:rPr>
        <w:lastRenderedPageBreak/>
        <w:drawing>
          <wp:inline distT="0" distB="0" distL="0" distR="0" wp14:anchorId="4F30D04D" wp14:editId="1EB402BA">
            <wp:extent cx="5940425" cy="647744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CC7" w:rsidRPr="00211CC7">
        <w:rPr>
          <w:noProof/>
          <w:lang w:eastAsia="ru-RU"/>
        </w:rPr>
        <w:lastRenderedPageBreak/>
        <w:drawing>
          <wp:inline distT="0" distB="0" distL="0" distR="0" wp14:anchorId="57C52870" wp14:editId="41AD35EA">
            <wp:extent cx="5940425" cy="4562760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"/>
        <w:gridCol w:w="2427"/>
        <w:gridCol w:w="1113"/>
        <w:gridCol w:w="152"/>
        <w:gridCol w:w="108"/>
        <w:gridCol w:w="108"/>
        <w:gridCol w:w="128"/>
        <w:gridCol w:w="108"/>
        <w:gridCol w:w="216"/>
        <w:gridCol w:w="44"/>
        <w:gridCol w:w="104"/>
        <w:gridCol w:w="529"/>
        <w:gridCol w:w="38"/>
        <w:gridCol w:w="145"/>
        <w:gridCol w:w="284"/>
        <w:gridCol w:w="138"/>
        <w:gridCol w:w="100"/>
        <w:gridCol w:w="474"/>
        <w:gridCol w:w="314"/>
        <w:gridCol w:w="672"/>
        <w:gridCol w:w="400"/>
        <w:gridCol w:w="24"/>
        <w:gridCol w:w="426"/>
        <w:gridCol w:w="428"/>
        <w:gridCol w:w="194"/>
        <w:gridCol w:w="555"/>
        <w:gridCol w:w="13"/>
        <w:gridCol w:w="80"/>
        <w:gridCol w:w="85"/>
        <w:gridCol w:w="534"/>
      </w:tblGrid>
      <w:tr w:rsidR="00AD69F0" w:rsidTr="003A6D6A">
        <w:trPr>
          <w:gridAfter w:val="1"/>
          <w:wAfter w:w="534" w:type="dxa"/>
          <w:trHeight w:val="173"/>
        </w:trPr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9F0" w:rsidRDefault="00AD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9F0" w:rsidRDefault="00AD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9F0" w:rsidRDefault="00AD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69F0" w:rsidRDefault="00AD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9F0" w:rsidRDefault="00AD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9F0" w:rsidRDefault="00AD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9F0" w:rsidRDefault="00AD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A6D6A" w:rsidRDefault="003A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9F0" w:rsidRDefault="00AD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D69F0" w:rsidRDefault="00AD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AD69F0" w:rsidRDefault="00AD69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2427" w:type="dxa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lastRenderedPageBreak/>
              <w:t>Ведомственная структура расходов</w:t>
            </w:r>
          </w:p>
        </w:tc>
        <w:tc>
          <w:tcPr>
            <w:tcW w:w="1481" w:type="dxa"/>
            <w:gridSpan w:val="4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364" w:type="dxa"/>
            <w:gridSpan w:val="3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996" w:type="dxa"/>
            <w:gridSpan w:val="4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2122" w:type="dxa"/>
            <w:gridSpan w:val="7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1603" w:type="dxa"/>
            <w:gridSpan w:val="4"/>
            <w:noWrap/>
            <w:vAlign w:val="bottom"/>
            <w:hideMark/>
          </w:tcPr>
          <w:p w:rsidR="003A6D6A" w:rsidRDefault="003A6D6A" w:rsidP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Приложение №4.1  к Решению Думы №109  от27.12.2021г.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692" w:type="dxa"/>
            <w:gridSpan w:val="3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муниципального образования Каменка на 2022 год</w:t>
            </w:r>
          </w:p>
        </w:tc>
        <w:tc>
          <w:tcPr>
            <w:tcW w:w="816" w:type="dxa"/>
            <w:gridSpan w:val="7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996" w:type="dxa"/>
            <w:gridSpan w:val="4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2122" w:type="dxa"/>
            <w:gridSpan w:val="7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1603" w:type="dxa"/>
            <w:gridSpan w:val="4"/>
            <w:noWrap/>
            <w:vAlign w:val="bottom"/>
            <w:hideMark/>
          </w:tcPr>
          <w:p w:rsidR="003A6D6A" w:rsidRDefault="003A6D6A" w:rsidP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"О бюджете МО "Каменка" на 2022 год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8" w:type="dxa"/>
          <w:trHeight w:val="264"/>
        </w:trPr>
        <w:tc>
          <w:tcPr>
            <w:tcW w:w="3800" w:type="dxa"/>
            <w:gridSpan w:val="4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368" w:type="dxa"/>
            <w:gridSpan w:val="3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816" w:type="dxa"/>
            <w:gridSpan w:val="4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996" w:type="dxa"/>
            <w:gridSpan w:val="4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2264" w:type="dxa"/>
            <w:gridSpan w:val="6"/>
            <w:noWrap/>
            <w:vAlign w:val="bottom"/>
            <w:hideMark/>
          </w:tcPr>
          <w:p w:rsidR="003A6D6A" w:rsidRDefault="003A6D6A" w:rsidP="003A6D6A">
            <w:pPr>
              <w:spacing w:after="0"/>
              <w:jc w:val="right"/>
            </w:pPr>
          </w:p>
        </w:tc>
        <w:tc>
          <w:tcPr>
            <w:tcW w:w="1461" w:type="dxa"/>
            <w:gridSpan w:val="6"/>
            <w:noWrap/>
            <w:vAlign w:val="bottom"/>
            <w:hideMark/>
          </w:tcPr>
          <w:p w:rsidR="003A6D6A" w:rsidRDefault="003A6D6A" w:rsidP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 плановый период 2023 и 2024 года"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8" w:type="dxa"/>
          <w:trHeight w:val="264"/>
        </w:trPr>
        <w:tc>
          <w:tcPr>
            <w:tcW w:w="3800" w:type="dxa"/>
            <w:gridSpan w:val="4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368" w:type="dxa"/>
            <w:gridSpan w:val="3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816" w:type="dxa"/>
            <w:gridSpan w:val="4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996" w:type="dxa"/>
            <w:gridSpan w:val="4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2264" w:type="dxa"/>
            <w:gridSpan w:val="6"/>
            <w:noWrap/>
            <w:vAlign w:val="bottom"/>
            <w:hideMark/>
          </w:tcPr>
          <w:p w:rsidR="003A6D6A" w:rsidRDefault="003A6D6A">
            <w:pPr>
              <w:spacing w:after="0"/>
            </w:pPr>
          </w:p>
        </w:tc>
        <w:tc>
          <w:tcPr>
            <w:tcW w:w="1461" w:type="dxa"/>
            <w:gridSpan w:val="6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уб</w:t>
            </w:r>
            <w:proofErr w:type="spellEnd"/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450"/>
        </w:trPr>
        <w:tc>
          <w:tcPr>
            <w:tcW w:w="3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Наименование</w:t>
            </w:r>
          </w:p>
        </w:tc>
        <w:tc>
          <w:tcPr>
            <w:tcW w:w="42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Коды ведомственной  классификации</w:t>
            </w:r>
          </w:p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План 2022г.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585"/>
        </w:trPr>
        <w:tc>
          <w:tcPr>
            <w:tcW w:w="3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8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76"/>
        </w:trPr>
        <w:tc>
          <w:tcPr>
            <w:tcW w:w="3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eastAsia="ru-RU"/>
              </w:rPr>
              <w:t>О"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eastAsia="ru-RU"/>
              </w:rPr>
              <w:t>Каменка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19708,3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10303,7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828"/>
        </w:trPr>
        <w:tc>
          <w:tcPr>
            <w:tcW w:w="3800" w:type="dxa"/>
            <w:gridSpan w:val="4"/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001 00 000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1199,0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8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Оплата труда и начисления на оплату труда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801 80 010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1199,0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801 80 010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920,9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801 80 010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278,1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552"/>
        </w:trPr>
        <w:tc>
          <w:tcPr>
            <w:tcW w:w="3800" w:type="dxa"/>
            <w:gridSpan w:val="4"/>
            <w:shd w:val="clear" w:color="auto" w:fill="FFFFFF"/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Функц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р-ва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РФ,выс.орг.гос.власти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мест.админ-ций</w:t>
            </w:r>
            <w:proofErr w:type="spellEnd"/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9095,0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528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Оплата труда и начисления на оплату труда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801 80 020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6560,9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801 80 020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5039,1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801 80 020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1521,8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792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Иные закупки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товаров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абот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801 80 020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2032,2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792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Прочая закупка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товаров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абот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801 80 020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632,2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792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Прочая закупка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товаров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абот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801 80 020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1400,0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396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801 80 020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501,9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528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801 80 020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491,9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Уплата транспортного налога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801 80 020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480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Резервные фонды органов исполнительной власти субъектов РФ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9,0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76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0,7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76"/>
        </w:trPr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206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1F497D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1F497D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1F497D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1F497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1F497D"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1F497D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1F497D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142,8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552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142,8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110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7 030 251 180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142,8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528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lastRenderedPageBreak/>
              <w:t xml:space="preserve">Оплата труда и начисления на оплату труда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703 02 51180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135,0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703 02 51180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103,7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703 02 51180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31,3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792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товаров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абот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703 02 51180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7,8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792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Прочая закупка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товаров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абот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703 02 51180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7,8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76"/>
        </w:trPr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НАЦИОНАЛЬНАЯ БЕЗОПАСТНОСТЬ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80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Прочая закупка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товаров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абот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802 80 020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100,0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88"/>
        </w:trPr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16365C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16365C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16365C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16365C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16365C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16365C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16365C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16365C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16365C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16365C"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16365C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16365C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3156,3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564"/>
        </w:trPr>
        <w:tc>
          <w:tcPr>
            <w:tcW w:w="3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Осуществление передаваемых бюджетных полномочий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002 00 000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47,3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528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Оплата труда и начисления на оплату труда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613 01 030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45,4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613 01 030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34,9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613 01 030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10,5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792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товаров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абот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613 01 030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1,9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80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Прочая закупка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товаров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абот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613 01 030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1,9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76"/>
        </w:trPr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F243E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1323,0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792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товаров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абот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790 80 040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1323,0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840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Развитие автомобильных дорог общего пользования, находящихся в муниципальной собственности МО "Каменка" 2020-2025гг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790 80 040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1323,0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612"/>
        </w:trPr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1786,0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900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Прочая закупка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товаров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абот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 (народные инициативы)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802 80 020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540,4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68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Прочая закупка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товаров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абот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802 80 020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1245,6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540"/>
        </w:trPr>
        <w:tc>
          <w:tcPr>
            <w:tcW w:w="3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8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5813,0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76"/>
        </w:trPr>
        <w:tc>
          <w:tcPr>
            <w:tcW w:w="3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МБУК "СКЦ МО "Каменка"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5813,0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Субсидия бюджетным учреждениям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803 80 010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4032,0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64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Субсидия бюджетным учреждениям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803 80 020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1781,0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276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191,5</w:t>
            </w:r>
          </w:p>
        </w:tc>
      </w:tr>
      <w:tr w:rsidR="003A6D6A" w:rsidTr="003A6D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8" w:type="dxa"/>
          <w:wAfter w:w="712" w:type="dxa"/>
          <w:trHeight w:val="528"/>
        </w:trPr>
        <w:tc>
          <w:tcPr>
            <w:tcW w:w="3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D6A" w:rsidRDefault="003A6D6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000 00 000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6D6A" w:rsidRDefault="003A6D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</w:tbl>
    <w:p w:rsidR="003A6D6A" w:rsidRDefault="003A6D6A" w:rsidP="00722C7B">
      <w:r w:rsidRPr="003A6D6A">
        <w:lastRenderedPageBreak/>
        <w:drawing>
          <wp:inline distT="0" distB="0" distL="0" distR="0" wp14:anchorId="5C9FBC48" wp14:editId="7706EF65">
            <wp:extent cx="5940425" cy="8150077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6A">
        <w:lastRenderedPageBreak/>
        <w:drawing>
          <wp:inline distT="0" distB="0" distL="0" distR="0" wp14:anchorId="457CF21B" wp14:editId="6560D62A">
            <wp:extent cx="5940425" cy="832748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6A">
        <w:lastRenderedPageBreak/>
        <w:drawing>
          <wp:inline distT="0" distB="0" distL="0" distR="0" wp14:anchorId="193E4360" wp14:editId="04AB7EF6">
            <wp:extent cx="5940425" cy="84486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D6A">
        <w:lastRenderedPageBreak/>
        <w:drawing>
          <wp:inline distT="0" distB="0" distL="0" distR="0">
            <wp:extent cx="5515610" cy="335851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>
      <w:r w:rsidRPr="003A6D6A">
        <w:lastRenderedPageBreak/>
        <w:drawing>
          <wp:inline distT="0" distB="0" distL="0" distR="0">
            <wp:extent cx="5515610" cy="3024505"/>
            <wp:effectExtent l="0" t="0" r="889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3A6D6A" w:rsidRDefault="003A6D6A" w:rsidP="00722C7B"/>
    <w:p w:rsidR="00F9443A" w:rsidRDefault="003A6D6A" w:rsidP="00722C7B">
      <w:r w:rsidRPr="003A6D6A">
        <w:lastRenderedPageBreak/>
        <w:drawing>
          <wp:inline distT="0" distB="0" distL="0" distR="0" wp14:anchorId="6DF7C65C" wp14:editId="5581AAE3">
            <wp:extent cx="5940425" cy="2421163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/>
    <w:p w:rsidR="00F9443A" w:rsidRDefault="00F9443A" w:rsidP="00722C7B">
      <w:r w:rsidRPr="00F9443A">
        <w:lastRenderedPageBreak/>
        <w:drawing>
          <wp:inline distT="0" distB="0" distL="0" distR="0" wp14:anchorId="035A570D" wp14:editId="3BCA2D58">
            <wp:extent cx="5940425" cy="2421163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7"/>
        <w:gridCol w:w="19"/>
        <w:gridCol w:w="744"/>
        <w:gridCol w:w="106"/>
        <w:gridCol w:w="478"/>
        <w:gridCol w:w="515"/>
        <w:gridCol w:w="13"/>
        <w:gridCol w:w="695"/>
        <w:gridCol w:w="69"/>
        <w:gridCol w:w="584"/>
        <w:gridCol w:w="340"/>
        <w:gridCol w:w="992"/>
        <w:gridCol w:w="236"/>
        <w:gridCol w:w="473"/>
        <w:gridCol w:w="111"/>
        <w:gridCol w:w="266"/>
        <w:gridCol w:w="498"/>
        <w:gridCol w:w="117"/>
        <w:gridCol w:w="992"/>
        <w:gridCol w:w="134"/>
        <w:gridCol w:w="575"/>
        <w:gridCol w:w="417"/>
        <w:gridCol w:w="493"/>
        <w:gridCol w:w="276"/>
        <w:gridCol w:w="850"/>
      </w:tblGrid>
      <w:tr w:rsidR="00F9443A" w:rsidRPr="00F9443A" w:rsidTr="00F9443A">
        <w:trPr>
          <w:gridAfter w:val="1"/>
          <w:wAfter w:w="850" w:type="dxa"/>
          <w:trHeight w:val="264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9443A" w:rsidRPr="00F9443A" w:rsidRDefault="00F9443A" w:rsidP="00F944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9443A" w:rsidRPr="00F9443A" w:rsidTr="00F9443A">
        <w:trPr>
          <w:gridAfter w:val="1"/>
          <w:wAfter w:w="850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4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8 к Решению думы</w:t>
            </w:r>
          </w:p>
        </w:tc>
      </w:tr>
      <w:tr w:rsidR="00F9443A" w:rsidRPr="00F9443A" w:rsidTr="00F9443A">
        <w:trPr>
          <w:gridAfter w:val="1"/>
          <w:wAfter w:w="850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4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"О проекте бюджета МО "Каменка" на 2022 год </w:t>
            </w:r>
          </w:p>
        </w:tc>
      </w:tr>
      <w:tr w:rsidR="00F9443A" w:rsidRPr="00F9443A" w:rsidTr="00F9443A">
        <w:trPr>
          <w:gridAfter w:val="1"/>
          <w:wAfter w:w="850" w:type="dxa"/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44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и на плановый период 2023 и 2024 годов"</w:t>
            </w:r>
          </w:p>
        </w:tc>
      </w:tr>
      <w:tr w:rsidR="00F9443A" w:rsidRPr="00F9443A" w:rsidTr="00F9443A">
        <w:trPr>
          <w:gridAfter w:val="1"/>
          <w:wAfter w:w="850" w:type="dxa"/>
          <w:trHeight w:val="264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43A" w:rsidRPr="00F9443A" w:rsidRDefault="00F9443A" w:rsidP="00F9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9443A" w:rsidRPr="00F9443A" w:rsidTr="00F9443A">
        <w:trPr>
          <w:gridAfter w:val="1"/>
          <w:wAfter w:w="850" w:type="dxa"/>
          <w:trHeight w:val="264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43A" w:rsidRPr="00F9443A" w:rsidRDefault="00F9443A" w:rsidP="00F9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9443A" w:rsidRPr="00F9443A" w:rsidTr="00F9443A">
        <w:trPr>
          <w:gridAfter w:val="2"/>
          <w:wAfter w:w="1126" w:type="dxa"/>
          <w:trHeight w:val="660"/>
        </w:trPr>
        <w:tc>
          <w:tcPr>
            <w:tcW w:w="97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МО "КАМЕНКА"</w:t>
            </w: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НА 2022 ГОД И НА ПЛАНОВЫЙ ПЕРИОД 2023</w:t>
            </w:r>
            <w:proofErr w:type="gramStart"/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2024 ГОДОВ</w:t>
            </w:r>
          </w:p>
        </w:tc>
      </w:tr>
      <w:tr w:rsidR="00F9443A" w:rsidRPr="00F9443A" w:rsidTr="00793890">
        <w:trPr>
          <w:trHeight w:val="3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43A" w:rsidRPr="00F9443A" w:rsidTr="00793890">
        <w:trPr>
          <w:trHeight w:val="3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793890" w:rsidP="0079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43A" w:rsidRPr="00F9443A" w:rsidRDefault="00F9443A" w:rsidP="00F9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43A" w:rsidRPr="00F9443A" w:rsidTr="00793890">
        <w:trPr>
          <w:gridAfter w:val="2"/>
          <w:wAfter w:w="1126" w:type="dxa"/>
          <w:trHeight w:val="156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долга на 01.01.2022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2022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2022 году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долга на 01.01.2023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2023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2023 году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долга на 01.01.2024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2024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 в 2024 году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долга на 01.01.2025 года</w:t>
            </w:r>
          </w:p>
        </w:tc>
      </w:tr>
      <w:tr w:rsidR="00F9443A" w:rsidRPr="00F9443A" w:rsidTr="00793890">
        <w:trPr>
          <w:gridAfter w:val="2"/>
          <w:wAfter w:w="1126" w:type="dxa"/>
          <w:trHeight w:val="31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666,00</w:t>
            </w:r>
          </w:p>
        </w:tc>
      </w:tr>
      <w:tr w:rsidR="00F9443A" w:rsidRPr="00F9443A" w:rsidTr="00793890">
        <w:trPr>
          <w:gridAfter w:val="2"/>
          <w:wAfter w:w="1126" w:type="dxa"/>
          <w:trHeight w:val="31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43A" w:rsidRPr="00F9443A" w:rsidTr="00793890">
        <w:trPr>
          <w:gridAfter w:val="2"/>
          <w:wAfter w:w="1126" w:type="dxa"/>
          <w:trHeight w:val="62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Кредиты кредитных организаций в валюте Российской Федераци</w:t>
            </w: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666,0</w:t>
            </w:r>
          </w:p>
        </w:tc>
      </w:tr>
      <w:tr w:rsidR="00F9443A" w:rsidRPr="00F9443A" w:rsidTr="00793890">
        <w:trPr>
          <w:gridAfter w:val="2"/>
          <w:wAfter w:w="1126" w:type="dxa"/>
          <w:trHeight w:val="93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</w:tr>
      <w:tr w:rsidR="00F9443A" w:rsidRPr="00F9443A" w:rsidTr="00793890">
        <w:trPr>
          <w:gridAfter w:val="2"/>
          <w:wAfter w:w="1126" w:type="dxa"/>
          <w:trHeight w:val="93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Бюджетные кредиты от других бюджетов бюджетной системы Российской Федерации, в том числе</w:t>
            </w: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: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9443A" w:rsidRPr="00F9443A" w:rsidTr="00793890">
        <w:trPr>
          <w:gridAfter w:val="2"/>
          <w:wAfter w:w="1126" w:type="dxa"/>
          <w:trHeight w:val="31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реструктурированные бюджетные кредиты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443A" w:rsidRPr="00F9443A" w:rsidTr="00793890">
        <w:trPr>
          <w:gridAfter w:val="2"/>
          <w:wAfter w:w="1126" w:type="dxa"/>
          <w:trHeight w:val="11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43A" w:rsidRPr="00F9443A" w:rsidRDefault="00F9443A" w:rsidP="00F9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бюджетным законодательством</w:t>
            </w:r>
          </w:p>
        </w:tc>
      </w:tr>
      <w:tr w:rsidR="00F9443A" w:rsidRPr="00F9443A" w:rsidTr="00793890">
        <w:trPr>
          <w:gridAfter w:val="2"/>
          <w:wAfter w:w="1126" w:type="dxa"/>
          <w:trHeight w:val="264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43A" w:rsidRPr="00F9443A" w:rsidRDefault="00F9443A" w:rsidP="00F9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43A" w:rsidRPr="00F9443A" w:rsidRDefault="00F9443A" w:rsidP="00F9443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722C7B" w:rsidRDefault="00722C7B" w:rsidP="00722C7B"/>
    <w:sectPr w:rsidR="0072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C4" w:rsidRDefault="00B51DC4" w:rsidP="00C675BD">
      <w:pPr>
        <w:spacing w:after="0" w:line="240" w:lineRule="auto"/>
      </w:pPr>
      <w:r>
        <w:separator/>
      </w:r>
    </w:p>
  </w:endnote>
  <w:endnote w:type="continuationSeparator" w:id="0">
    <w:p w:rsidR="00B51DC4" w:rsidRDefault="00B51DC4" w:rsidP="00C6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C4" w:rsidRDefault="00B51DC4" w:rsidP="00C675BD">
      <w:pPr>
        <w:spacing w:after="0" w:line="240" w:lineRule="auto"/>
      </w:pPr>
      <w:r>
        <w:separator/>
      </w:r>
    </w:p>
  </w:footnote>
  <w:footnote w:type="continuationSeparator" w:id="0">
    <w:p w:rsidR="00B51DC4" w:rsidRDefault="00B51DC4" w:rsidP="00C67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11"/>
    <w:rsid w:val="00211CC7"/>
    <w:rsid w:val="003A6D6A"/>
    <w:rsid w:val="004823BC"/>
    <w:rsid w:val="00622A08"/>
    <w:rsid w:val="00722C7B"/>
    <w:rsid w:val="00793890"/>
    <w:rsid w:val="00AD69F0"/>
    <w:rsid w:val="00B51DC4"/>
    <w:rsid w:val="00C675BD"/>
    <w:rsid w:val="00CB4CC5"/>
    <w:rsid w:val="00D87F11"/>
    <w:rsid w:val="00F9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5BD"/>
  </w:style>
  <w:style w:type="paragraph" w:styleId="a7">
    <w:name w:val="footer"/>
    <w:basedOn w:val="a"/>
    <w:link w:val="a8"/>
    <w:uiPriority w:val="99"/>
    <w:unhideWhenUsed/>
    <w:rsid w:val="00C6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5BD"/>
  </w:style>
  <w:style w:type="paragraph" w:styleId="a7">
    <w:name w:val="footer"/>
    <w:basedOn w:val="a"/>
    <w:link w:val="a8"/>
    <w:uiPriority w:val="99"/>
    <w:unhideWhenUsed/>
    <w:rsid w:val="00C6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2022-01-19T07:42:00Z</dcterms:created>
  <dcterms:modified xsi:type="dcterms:W3CDTF">2022-01-20T05:12:00Z</dcterms:modified>
</cp:coreProperties>
</file>